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732" w:type="dxa"/>
        <w:tblInd w:w="-1178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6"/>
        <w:gridCol w:w="1676"/>
        <w:gridCol w:w="1676"/>
        <w:gridCol w:w="1676"/>
      </w:tblGrid>
      <w:tr w:rsidR="00C275A5" w:rsidTr="00C275A5">
        <w:trPr>
          <w:trHeight w:val="1700"/>
        </w:trPr>
        <w:tc>
          <w:tcPr>
            <w:tcW w:w="1676" w:type="dxa"/>
          </w:tcPr>
          <w:p w:rsidR="00C275A5" w:rsidRPr="00C275A5" w:rsidRDefault="00A176F4">
            <w:pPr>
              <w:rPr>
                <w:b/>
                <w:color w:val="E36C0A" w:themeColor="accent6" w:themeShade="BF"/>
                <w:sz w:val="144"/>
                <w:szCs w:val="144"/>
              </w:rPr>
            </w:pPr>
            <w:bookmarkStart w:id="0" w:name="_GoBack"/>
            <w:bookmarkEnd w:id="0"/>
            <w:r>
              <w:rPr>
                <w:b/>
                <w:color w:val="548DD4" w:themeColor="text2" w:themeTint="99"/>
                <w:sz w:val="144"/>
                <w:szCs w:val="144"/>
              </w:rPr>
              <w:t>75</w:t>
            </w:r>
          </w:p>
        </w:tc>
        <w:tc>
          <w:tcPr>
            <w:tcW w:w="1676" w:type="dxa"/>
          </w:tcPr>
          <w:p w:rsidR="00C275A5" w:rsidRPr="00A176F4" w:rsidRDefault="00A176F4">
            <w:pPr>
              <w:rPr>
                <w:b/>
                <w:color w:val="548DD4" w:themeColor="text2" w:themeTint="99"/>
                <w:sz w:val="144"/>
                <w:szCs w:val="144"/>
              </w:rPr>
            </w:pPr>
            <w:r>
              <w:rPr>
                <w:b/>
                <w:color w:val="548DD4" w:themeColor="text2" w:themeTint="99"/>
                <w:sz w:val="144"/>
                <w:szCs w:val="144"/>
              </w:rPr>
              <w:t>65</w:t>
            </w:r>
          </w:p>
        </w:tc>
        <w:tc>
          <w:tcPr>
            <w:tcW w:w="1676" w:type="dxa"/>
          </w:tcPr>
          <w:p w:rsidR="00C275A5" w:rsidRPr="00A176F4" w:rsidRDefault="00A176F4">
            <w:pPr>
              <w:rPr>
                <w:b/>
                <w:color w:val="548DD4" w:themeColor="text2" w:themeTint="99"/>
                <w:sz w:val="144"/>
                <w:szCs w:val="144"/>
              </w:rPr>
            </w:pPr>
            <w:r>
              <w:rPr>
                <w:b/>
                <w:color w:val="548DD4" w:themeColor="text2" w:themeTint="99"/>
                <w:sz w:val="144"/>
                <w:szCs w:val="144"/>
              </w:rPr>
              <w:t>71</w:t>
            </w:r>
          </w:p>
        </w:tc>
        <w:tc>
          <w:tcPr>
            <w:tcW w:w="1676" w:type="dxa"/>
          </w:tcPr>
          <w:p w:rsidR="00C275A5" w:rsidRPr="00A176F4" w:rsidRDefault="00A176F4">
            <w:pPr>
              <w:rPr>
                <w:b/>
                <w:color w:val="548DD4" w:themeColor="text2" w:themeTint="99"/>
                <w:sz w:val="144"/>
                <w:szCs w:val="144"/>
              </w:rPr>
            </w:pPr>
            <w:r>
              <w:rPr>
                <w:b/>
                <w:color w:val="548DD4" w:themeColor="text2" w:themeTint="99"/>
                <w:sz w:val="144"/>
                <w:szCs w:val="144"/>
              </w:rPr>
              <w:t>71</w:t>
            </w:r>
          </w:p>
        </w:tc>
        <w:tc>
          <w:tcPr>
            <w:tcW w:w="1676" w:type="dxa"/>
          </w:tcPr>
          <w:p w:rsidR="00C275A5" w:rsidRPr="00A176F4" w:rsidRDefault="00A176F4">
            <w:pPr>
              <w:rPr>
                <w:b/>
                <w:color w:val="548DD4" w:themeColor="text2" w:themeTint="99"/>
                <w:sz w:val="144"/>
                <w:szCs w:val="144"/>
              </w:rPr>
            </w:pPr>
            <w:r>
              <w:rPr>
                <w:b/>
                <w:color w:val="548DD4" w:themeColor="text2" w:themeTint="99"/>
                <w:sz w:val="144"/>
                <w:szCs w:val="144"/>
              </w:rPr>
              <w:t>72</w:t>
            </w:r>
          </w:p>
        </w:tc>
        <w:tc>
          <w:tcPr>
            <w:tcW w:w="1676" w:type="dxa"/>
          </w:tcPr>
          <w:p w:rsidR="00C275A5" w:rsidRPr="00A176F4" w:rsidRDefault="00A176F4">
            <w:pPr>
              <w:rPr>
                <w:b/>
                <w:color w:val="548DD4" w:themeColor="text2" w:themeTint="99"/>
                <w:sz w:val="144"/>
                <w:szCs w:val="144"/>
              </w:rPr>
            </w:pPr>
            <w:r>
              <w:rPr>
                <w:b/>
                <w:color w:val="548DD4" w:themeColor="text2" w:themeTint="99"/>
                <w:sz w:val="144"/>
                <w:szCs w:val="144"/>
              </w:rPr>
              <w:t>77</w:t>
            </w:r>
          </w:p>
        </w:tc>
        <w:tc>
          <w:tcPr>
            <w:tcW w:w="1676" w:type="dxa"/>
          </w:tcPr>
          <w:p w:rsidR="00C275A5" w:rsidRPr="00A176F4" w:rsidRDefault="00A176F4">
            <w:pPr>
              <w:rPr>
                <w:b/>
                <w:color w:val="548DD4" w:themeColor="text2" w:themeTint="99"/>
                <w:sz w:val="144"/>
                <w:szCs w:val="144"/>
              </w:rPr>
            </w:pPr>
            <w:r>
              <w:rPr>
                <w:b/>
                <w:color w:val="548DD4" w:themeColor="text2" w:themeTint="99"/>
                <w:sz w:val="144"/>
                <w:szCs w:val="144"/>
              </w:rPr>
              <w:t>21</w:t>
            </w:r>
          </w:p>
        </w:tc>
      </w:tr>
    </w:tbl>
    <w:p w:rsidR="009835EE" w:rsidRDefault="009835EE"/>
    <w:p w:rsidR="00C275A5" w:rsidRDefault="00C275A5">
      <w:pPr>
        <w:rPr>
          <w:rFonts w:asciiTheme="majorHAnsi" w:hAnsiTheme="majorHAnsi"/>
          <w:b/>
          <w:sz w:val="52"/>
          <w:szCs w:val="52"/>
        </w:rPr>
      </w:pPr>
      <w:r w:rsidRPr="00C275A5">
        <w:rPr>
          <w:rFonts w:asciiTheme="majorHAnsi" w:hAnsiTheme="majorHAnsi"/>
          <w:b/>
          <w:sz w:val="52"/>
          <w:szCs w:val="52"/>
        </w:rPr>
        <w:t>Shade all of the true statements.</w:t>
      </w:r>
      <w:r>
        <w:rPr>
          <w:rFonts w:asciiTheme="majorHAnsi" w:hAnsiTheme="majorHAnsi"/>
          <w:b/>
          <w:sz w:val="52"/>
          <w:szCs w:val="52"/>
        </w:rPr>
        <w:t xml:space="preserve"> </w:t>
      </w:r>
    </w:p>
    <w:p w:rsidR="00C275A5" w:rsidRDefault="00C275A5">
      <w:pPr>
        <w:rPr>
          <w:rFonts w:asciiTheme="majorHAnsi" w:hAnsiTheme="majorHAnsi"/>
          <w:b/>
          <w:sz w:val="52"/>
          <w:szCs w:val="52"/>
        </w:rPr>
      </w:pPr>
    </w:p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275A5" w:rsidTr="00D9023C">
        <w:tc>
          <w:tcPr>
            <w:tcW w:w="9576" w:type="dxa"/>
          </w:tcPr>
          <w:p w:rsidR="00C275A5" w:rsidRDefault="00A176F4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mode is equal to the median.</w:t>
            </w:r>
          </w:p>
        </w:tc>
      </w:tr>
      <w:tr w:rsidR="00C275A5" w:rsidTr="00D9023C">
        <w:tc>
          <w:tcPr>
            <w:tcW w:w="9576" w:type="dxa"/>
          </w:tcPr>
          <w:p w:rsidR="00C275A5" w:rsidRDefault="00A176F4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</w:t>
            </w:r>
            <w:r w:rsidR="00283CC1">
              <w:rPr>
                <w:rFonts w:asciiTheme="majorHAnsi" w:hAnsiTheme="majorHAnsi"/>
                <w:b/>
                <w:sz w:val="52"/>
                <w:szCs w:val="52"/>
              </w:rPr>
              <w:t xml:space="preserve"> range is great</w:t>
            </w:r>
            <w:r>
              <w:rPr>
                <w:rFonts w:asciiTheme="majorHAnsi" w:hAnsiTheme="majorHAnsi"/>
                <w:b/>
                <w:sz w:val="52"/>
                <w:szCs w:val="52"/>
              </w:rPr>
              <w:t>er than the mean.</w:t>
            </w:r>
          </w:p>
        </w:tc>
      </w:tr>
      <w:tr w:rsidR="00C275A5" w:rsidTr="00D9023C">
        <w:tc>
          <w:tcPr>
            <w:tcW w:w="9576" w:type="dxa"/>
          </w:tcPr>
          <w:p w:rsidR="00C275A5" w:rsidRDefault="00A176F4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mean can be rounded to 65.</w:t>
            </w:r>
          </w:p>
        </w:tc>
      </w:tr>
      <w:tr w:rsidR="00C275A5" w:rsidTr="00D9023C">
        <w:tc>
          <w:tcPr>
            <w:tcW w:w="9576" w:type="dxa"/>
          </w:tcPr>
          <w:p w:rsidR="00C275A5" w:rsidRDefault="00283CC1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median falls between 50 and 60.</w:t>
            </w:r>
          </w:p>
        </w:tc>
      </w:tr>
      <w:tr w:rsidR="00C275A5" w:rsidTr="00D9023C">
        <w:tc>
          <w:tcPr>
            <w:tcW w:w="9576" w:type="dxa"/>
          </w:tcPr>
          <w:p w:rsidR="00283CC1" w:rsidRDefault="00283CC1" w:rsidP="00283CC1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mean falls between 50 and 60.</w:t>
            </w:r>
          </w:p>
        </w:tc>
      </w:tr>
      <w:tr w:rsidR="00C275A5" w:rsidTr="00D9023C">
        <w:tc>
          <w:tcPr>
            <w:tcW w:w="9576" w:type="dxa"/>
          </w:tcPr>
          <w:p w:rsidR="00C275A5" w:rsidRDefault="00283CC1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mode is greater than the mean.</w:t>
            </w:r>
          </w:p>
        </w:tc>
      </w:tr>
      <w:tr w:rsidR="00C275A5" w:rsidTr="00D9023C">
        <w:tc>
          <w:tcPr>
            <w:tcW w:w="9576" w:type="dxa"/>
          </w:tcPr>
          <w:p w:rsidR="00C275A5" w:rsidRDefault="00283CC1" w:rsidP="00D9023C">
            <w:pPr>
              <w:jc w:val="center"/>
              <w:rPr>
                <w:rFonts w:asciiTheme="majorHAnsi" w:hAnsiTheme="majorHAnsi"/>
                <w:b/>
                <w:sz w:val="52"/>
                <w:szCs w:val="52"/>
              </w:rPr>
            </w:pPr>
            <w:r>
              <w:rPr>
                <w:rFonts w:asciiTheme="majorHAnsi" w:hAnsiTheme="majorHAnsi"/>
                <w:b/>
                <w:sz w:val="52"/>
                <w:szCs w:val="52"/>
              </w:rPr>
              <w:t>The median is less than the mean, mode and range.</w:t>
            </w:r>
          </w:p>
        </w:tc>
      </w:tr>
    </w:tbl>
    <w:p w:rsidR="00C275A5" w:rsidRPr="00C275A5" w:rsidRDefault="00C275A5">
      <w:pPr>
        <w:rPr>
          <w:rFonts w:asciiTheme="majorHAnsi" w:hAnsiTheme="majorHAnsi"/>
          <w:b/>
          <w:sz w:val="52"/>
          <w:szCs w:val="52"/>
        </w:rPr>
      </w:pPr>
    </w:p>
    <w:sectPr w:rsidR="00C275A5" w:rsidRPr="00C275A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100" w:rsidRDefault="00F64100" w:rsidP="00F64100">
      <w:pPr>
        <w:spacing w:after="0" w:line="240" w:lineRule="auto"/>
      </w:pPr>
      <w:r>
        <w:separator/>
      </w:r>
    </w:p>
  </w:endnote>
  <w:endnote w:type="continuationSeparator" w:id="0">
    <w:p w:rsidR="00F64100" w:rsidRDefault="00F64100" w:rsidP="00F6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100" w:rsidRDefault="00F6410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SDB TEI SAMPLE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F39B3" w:rsidRPr="007F39B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F64100" w:rsidRDefault="00F641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100" w:rsidRDefault="00F64100" w:rsidP="00F64100">
      <w:pPr>
        <w:spacing w:after="0" w:line="240" w:lineRule="auto"/>
      </w:pPr>
      <w:r>
        <w:separator/>
      </w:r>
    </w:p>
  </w:footnote>
  <w:footnote w:type="continuationSeparator" w:id="0">
    <w:p w:rsidR="00F64100" w:rsidRDefault="00F64100" w:rsidP="00F64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5A5"/>
    <w:rsid w:val="00283CC1"/>
    <w:rsid w:val="007F39B3"/>
    <w:rsid w:val="009835EE"/>
    <w:rsid w:val="00A176F4"/>
    <w:rsid w:val="00C275A5"/>
    <w:rsid w:val="00D9023C"/>
    <w:rsid w:val="00F6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00"/>
  </w:style>
  <w:style w:type="paragraph" w:styleId="Footer">
    <w:name w:val="footer"/>
    <w:basedOn w:val="Normal"/>
    <w:link w:val="FooterChar"/>
    <w:uiPriority w:val="99"/>
    <w:unhideWhenUsed/>
    <w:rsid w:val="00F6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00"/>
  </w:style>
  <w:style w:type="paragraph" w:styleId="BalloonText">
    <w:name w:val="Balloon Text"/>
    <w:basedOn w:val="Normal"/>
    <w:link w:val="BalloonTextChar"/>
    <w:uiPriority w:val="99"/>
    <w:semiHidden/>
    <w:unhideWhenUsed/>
    <w:rsid w:val="00F6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7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100"/>
  </w:style>
  <w:style w:type="paragraph" w:styleId="Footer">
    <w:name w:val="footer"/>
    <w:basedOn w:val="Normal"/>
    <w:link w:val="FooterChar"/>
    <w:uiPriority w:val="99"/>
    <w:unhideWhenUsed/>
    <w:rsid w:val="00F64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100"/>
  </w:style>
  <w:style w:type="paragraph" w:styleId="BalloonText">
    <w:name w:val="Balloon Text"/>
    <w:basedOn w:val="Normal"/>
    <w:link w:val="BalloonTextChar"/>
    <w:uiPriority w:val="99"/>
    <w:semiHidden/>
    <w:unhideWhenUsed/>
    <w:rsid w:val="00F6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SAMARA BOOKER</dc:creator>
  <cp:lastModifiedBy>SAMARA BOOKER</cp:lastModifiedBy>
  <cp:revision>2</cp:revision>
  <dcterms:created xsi:type="dcterms:W3CDTF">2014-12-04T14:56:00Z</dcterms:created>
  <dcterms:modified xsi:type="dcterms:W3CDTF">2014-12-04T14:56:00Z</dcterms:modified>
</cp:coreProperties>
</file>